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4B4ED6">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8D1C1A" w:rsidRPr="008D1C1A">
        <w:t>R4-2016475</w:t>
      </w:r>
      <w:bookmarkStart w:id="2" w:name="_GoBack"/>
      <w:bookmarkEnd w:id="2"/>
    </w:p>
    <w:p w:rsidR="004B4ED6" w:rsidRPr="00444A16" w:rsidRDefault="004B4ED6" w:rsidP="004B4ED6">
      <w:pPr>
        <w:pStyle w:val="a1"/>
        <w:rPr>
          <w:rFonts w:eastAsia="宋体"/>
          <w:lang w:eastAsia="zh-CN"/>
        </w:rPr>
      </w:pPr>
      <w:r w:rsidRPr="00BD3E28">
        <w:rPr>
          <w:rFonts w:eastAsia="宋体"/>
          <w:lang w:eastAsia="zh-CN"/>
        </w:rPr>
        <w:t>Electronic Meeting, 17-28 Aug.,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6307A" w:rsidRPr="0046307A">
        <w:rPr>
          <w:rFonts w:ascii="Arial" w:hAnsi="Arial" w:cs="Arial"/>
          <w:sz w:val="22"/>
        </w:rPr>
        <w:t>On switching period for LTE SL and NR SL</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6307A" w:rsidRPr="0046307A">
        <w:rPr>
          <w:rFonts w:ascii="Arial" w:hAnsi="Arial" w:cs="Arial"/>
          <w:sz w:val="22"/>
        </w:rPr>
        <w:t>7.3.4.1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71995" w:rsidRDefault="00765EC5" w:rsidP="00506149">
      <w:r>
        <w:t>NR switching period was further discussed in last RAN4 meeting. Though the WF was not agreed, the options are recorded in the document [1].</w:t>
      </w:r>
    </w:p>
    <w:p w:rsidR="00062E8E" w:rsidRDefault="00062E8E" w:rsidP="00F23E96">
      <w:pPr>
        <w:pStyle w:val="Heading1"/>
        <w:spacing w:after="240"/>
        <w:rPr>
          <w:rFonts w:eastAsia="宋体"/>
          <w:lang w:eastAsia="zh-CN"/>
        </w:rPr>
      </w:pPr>
      <w:r>
        <w:rPr>
          <w:rFonts w:eastAsia="宋体" w:hint="eastAsia"/>
          <w:lang w:eastAsia="zh-CN"/>
        </w:rPr>
        <w:t>Discussion</w:t>
      </w:r>
    </w:p>
    <w:p w:rsidR="00FB48D4" w:rsidRDefault="00FB48D4" w:rsidP="00303E78">
      <w:r>
        <w:t>For switching period requirement, two aspects are included, i.e. switching time as well as switching period position.</w:t>
      </w:r>
    </w:p>
    <w:p w:rsidR="00FB48D4" w:rsidRDefault="00DC3058" w:rsidP="00303E78">
      <w:r>
        <w:t>F</w:t>
      </w:r>
      <w:r w:rsidR="00FB48D4">
        <w:t>or switching period position, there are several options are under discussion:</w:t>
      </w:r>
    </w:p>
    <w:p w:rsidR="00CB0C6C" w:rsidRPr="00DC3058" w:rsidRDefault="00DC3058" w:rsidP="00DC3058">
      <w:pPr>
        <w:numPr>
          <w:ilvl w:val="0"/>
          <w:numId w:val="44"/>
        </w:numPr>
        <w:rPr>
          <w:i/>
          <w:lang w:val="en-US"/>
        </w:rPr>
      </w:pPr>
      <w:r w:rsidRPr="00DC3058">
        <w:rPr>
          <w:i/>
        </w:rPr>
        <w:t>Option 1: Switching period is placed at NR slot and the guard symbol at LTE side can also be utilized.</w:t>
      </w:r>
    </w:p>
    <w:p w:rsidR="00CB0C6C" w:rsidRPr="00DC3058" w:rsidRDefault="00DC3058" w:rsidP="00DC3058">
      <w:pPr>
        <w:numPr>
          <w:ilvl w:val="0"/>
          <w:numId w:val="44"/>
        </w:numPr>
        <w:rPr>
          <w:i/>
          <w:lang w:val="en-US"/>
        </w:rPr>
      </w:pPr>
      <w:r w:rsidRPr="00DC3058">
        <w:rPr>
          <w:i/>
        </w:rPr>
        <w:t>Option 1</w:t>
      </w:r>
      <w:r w:rsidRPr="00DC3058">
        <w:rPr>
          <w:i/>
          <w:lang w:val="en-US"/>
        </w:rPr>
        <w:t>a</w:t>
      </w:r>
      <w:r w:rsidRPr="00DC3058">
        <w:rPr>
          <w:i/>
        </w:rPr>
        <w:t>: The whole switching time including transient period should be placed at NR slot.</w:t>
      </w:r>
    </w:p>
    <w:p w:rsidR="00CB0C6C" w:rsidRPr="00DC3058" w:rsidRDefault="00DC3058" w:rsidP="00DC3058">
      <w:pPr>
        <w:numPr>
          <w:ilvl w:val="0"/>
          <w:numId w:val="44"/>
        </w:numPr>
        <w:rPr>
          <w:i/>
          <w:lang w:val="en-US"/>
        </w:rPr>
      </w:pPr>
      <w:r w:rsidRPr="00DC3058">
        <w:rPr>
          <w:i/>
          <w:lang w:val="en-US"/>
        </w:rPr>
        <w:t>Option 2: The whole switching time including switching period shall be placed at the previous E-UTRA sub-frame or NR slot.</w:t>
      </w:r>
    </w:p>
    <w:p w:rsidR="00CB0C6C" w:rsidRPr="00DC3058" w:rsidRDefault="00DC3058" w:rsidP="00DC3058">
      <w:pPr>
        <w:numPr>
          <w:ilvl w:val="0"/>
          <w:numId w:val="44"/>
        </w:numPr>
        <w:rPr>
          <w:i/>
          <w:lang w:val="en-US"/>
        </w:rPr>
      </w:pPr>
      <w:r w:rsidRPr="00DC3058">
        <w:rPr>
          <w:i/>
          <w:lang w:val="en-US"/>
        </w:rPr>
        <w:t>Option2a: Switching period is placed at the last slot/SF of the RAT UE switches from or placed at the first slot/SF of the RAT UE switches to. Choosing which RAT to place the switching period in is up to UE implementation [Qualcomm]</w:t>
      </w:r>
    </w:p>
    <w:p w:rsidR="00CB0C6C" w:rsidRPr="00DC3058" w:rsidRDefault="00DC3058" w:rsidP="00DC3058">
      <w:pPr>
        <w:numPr>
          <w:ilvl w:val="0"/>
          <w:numId w:val="44"/>
        </w:numPr>
        <w:rPr>
          <w:i/>
          <w:lang w:val="en-US"/>
        </w:rPr>
      </w:pPr>
      <w:r w:rsidRPr="00DC3058">
        <w:rPr>
          <w:i/>
        </w:rPr>
        <w:t xml:space="preserve">Option 3: Do not specify switching time RF requirement, use RRM requirement in 38.133 clause 12.9.1 to verify the LTE-NR </w:t>
      </w:r>
      <w:proofErr w:type="spellStart"/>
      <w:r w:rsidRPr="00DC3058">
        <w:rPr>
          <w:i/>
        </w:rPr>
        <w:t>Tx</w:t>
      </w:r>
      <w:proofErr w:type="spellEnd"/>
      <w:r w:rsidRPr="00DC3058">
        <w:rPr>
          <w:i/>
        </w:rPr>
        <w:t xml:space="preserve"> switching requirement.  </w:t>
      </w:r>
    </w:p>
    <w:p w:rsidR="00CB0C6C" w:rsidRPr="00DC3058" w:rsidRDefault="00DC3058" w:rsidP="00DC3058">
      <w:pPr>
        <w:numPr>
          <w:ilvl w:val="0"/>
          <w:numId w:val="44"/>
        </w:numPr>
        <w:rPr>
          <w:i/>
          <w:lang w:val="en-US"/>
        </w:rPr>
      </w:pPr>
      <w:r w:rsidRPr="00DC3058">
        <w:rPr>
          <w:i/>
        </w:rPr>
        <w:t xml:space="preserve">Option 4: LTE-NR </w:t>
      </w:r>
      <w:proofErr w:type="spellStart"/>
      <w:r w:rsidRPr="00DC3058">
        <w:rPr>
          <w:i/>
        </w:rPr>
        <w:t>Tx</w:t>
      </w:r>
      <w:proofErr w:type="spellEnd"/>
      <w:r w:rsidRPr="00DC3058">
        <w:rPr>
          <w:i/>
        </w:rPr>
        <w:t xml:space="preserve"> Switching time requirement is specified as a package in the following:</w:t>
      </w:r>
    </w:p>
    <w:p w:rsidR="00CB0C6C" w:rsidRPr="00DC3058" w:rsidRDefault="00DC3058" w:rsidP="00DC3058">
      <w:pPr>
        <w:numPr>
          <w:ilvl w:val="1"/>
          <w:numId w:val="44"/>
        </w:numPr>
        <w:rPr>
          <w:i/>
          <w:lang w:val="en-US"/>
        </w:rPr>
      </w:pPr>
      <w:r w:rsidRPr="00DC3058">
        <w:rPr>
          <w:i/>
        </w:rPr>
        <w:t>Switching time requirement in RF spec (38.101) is 150us</w:t>
      </w:r>
    </w:p>
    <w:p w:rsidR="00CB0C6C" w:rsidRPr="00DC3058" w:rsidRDefault="00DC3058" w:rsidP="00DC3058">
      <w:pPr>
        <w:numPr>
          <w:ilvl w:val="1"/>
          <w:numId w:val="44"/>
        </w:numPr>
        <w:rPr>
          <w:i/>
          <w:lang w:val="en-US"/>
        </w:rPr>
      </w:pPr>
      <w:r w:rsidRPr="00DC3058">
        <w:rPr>
          <w:i/>
        </w:rPr>
        <w:t>If UE supports this feature: “Support of fewer than 14 consecutive sidelink symbols in a slot”, the switching time requirement can be verified by configuring smaller number of consecutive symbols in a slot, and UE has to satisfy the 150us switching time requirement.</w:t>
      </w:r>
    </w:p>
    <w:p w:rsidR="00CB0C6C" w:rsidRPr="00DC3058" w:rsidRDefault="00DC3058" w:rsidP="00DC3058">
      <w:pPr>
        <w:numPr>
          <w:ilvl w:val="1"/>
          <w:numId w:val="44"/>
        </w:numPr>
        <w:rPr>
          <w:i/>
          <w:lang w:val="en-US"/>
        </w:rPr>
      </w:pPr>
      <w:r w:rsidRPr="00DC3058">
        <w:rPr>
          <w:i/>
        </w:rPr>
        <w:t xml:space="preserve">If UE doesn’t support this feature: “Support of fewer than 14 consecutive sidelink symbols in a slot”, the switching time requirement is considered as satisfied when UE satisfied the corresponding scheduling restriction requirement in 38.133 clause 12.9.1.   </w:t>
      </w:r>
    </w:p>
    <w:p w:rsidR="00DC3058" w:rsidRPr="00DC3058" w:rsidRDefault="00DC3058" w:rsidP="00DC3058">
      <w:pPr>
        <w:numPr>
          <w:ilvl w:val="0"/>
          <w:numId w:val="44"/>
        </w:numPr>
        <w:rPr>
          <w:i/>
          <w:lang w:val="en-US"/>
        </w:rPr>
      </w:pPr>
      <w:r w:rsidRPr="00DC3058">
        <w:rPr>
          <w:i/>
          <w:lang w:val="en-US"/>
        </w:rPr>
        <w:t>Option 5: Option2a + Option 3 [Qualcomm]</w:t>
      </w:r>
    </w:p>
    <w:p w:rsidR="00765728" w:rsidRDefault="00FB48D4" w:rsidP="00FB48D4">
      <w:pPr>
        <w:rPr>
          <w:lang w:val="en-US"/>
        </w:rPr>
      </w:pPr>
      <w:r>
        <w:rPr>
          <w:lang w:val="en-US"/>
        </w:rPr>
        <w:t xml:space="preserve">It is noted that option </w:t>
      </w:r>
      <w:r w:rsidR="00DC3058">
        <w:rPr>
          <w:lang w:val="en-US"/>
        </w:rPr>
        <w:t>2a</w:t>
      </w:r>
      <w:r>
        <w:rPr>
          <w:lang w:val="en-US"/>
        </w:rPr>
        <w:t xml:space="preserve"> and option </w:t>
      </w:r>
      <w:r w:rsidR="00DC3058">
        <w:rPr>
          <w:lang w:val="en-US"/>
        </w:rPr>
        <w:t>5</w:t>
      </w:r>
      <w:r>
        <w:rPr>
          <w:lang w:val="en-US"/>
        </w:rPr>
        <w:t xml:space="preserve"> were not discussed in the 1</w:t>
      </w:r>
      <w:r w:rsidRPr="00FB48D4">
        <w:rPr>
          <w:vertAlign w:val="superscript"/>
          <w:lang w:val="en-US"/>
        </w:rPr>
        <w:t>st</w:t>
      </w:r>
      <w:r>
        <w:rPr>
          <w:lang w:val="en-US"/>
        </w:rPr>
        <w:t xml:space="preserve"> round in last meeting at all. </w:t>
      </w:r>
    </w:p>
    <w:p w:rsidR="00FB48D4" w:rsidRDefault="00765728" w:rsidP="00FB48D4">
      <w:r>
        <w:rPr>
          <w:lang w:val="en-US"/>
        </w:rPr>
        <w:t>Before diving into the specific value and options, we should be aware of the progress made in RRM session. The following agreement of interruption or scheduling restriction was already captured in the latest RRM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55A97" w:rsidTr="00FF0B57">
        <w:tc>
          <w:tcPr>
            <w:tcW w:w="9857" w:type="dxa"/>
            <w:shd w:val="clear" w:color="auto" w:fill="auto"/>
          </w:tcPr>
          <w:p w:rsidR="00355A97" w:rsidRPr="009C5807" w:rsidRDefault="00355A97" w:rsidP="00FF0B57">
            <w:pPr>
              <w:pStyle w:val="Heading3"/>
              <w:numPr>
                <w:ilvl w:val="0"/>
                <w:numId w:val="0"/>
              </w:numPr>
            </w:pPr>
            <w:r w:rsidRPr="00FF0B57">
              <w:rPr>
                <w:szCs w:val="28"/>
              </w:rPr>
              <w:t>12.9.1</w:t>
            </w:r>
            <w:r w:rsidRPr="00FF0B57">
              <w:rPr>
                <w:szCs w:val="28"/>
              </w:rPr>
              <w:tab/>
            </w:r>
            <w:r w:rsidRPr="00FF0B57">
              <w:rPr>
                <w:szCs w:val="28"/>
                <w:lang w:eastAsia="ko-KR"/>
              </w:rPr>
              <w:t>Scheduling</w:t>
            </w:r>
            <w:r w:rsidRPr="009C5807">
              <w:rPr>
                <w:lang w:eastAsia="ko-KR"/>
              </w:rPr>
              <w:t xml:space="preserve"> availability </w:t>
            </w:r>
            <w:r w:rsidRPr="009C5807">
              <w:t>of UE switching between E-UTRA sidelink and NR sidelink</w:t>
            </w:r>
            <w:r w:rsidRPr="00FF0B57">
              <w:rPr>
                <w:sz w:val="24"/>
              </w:rPr>
              <w:t xml:space="preserve"> </w:t>
            </w:r>
          </w:p>
          <w:p w:rsidR="00355A97" w:rsidRPr="00FF0B57" w:rsidRDefault="00355A97" w:rsidP="00355A97">
            <w:pPr>
              <w:rPr>
                <w:rFonts w:eastAsia="Times New Roman"/>
                <w:lang w:eastAsia="ko-KR"/>
              </w:rPr>
            </w:pPr>
            <w:r w:rsidRPr="00FF0B57">
              <w:rPr>
                <w:rFonts w:eastAsia="Times New Roman"/>
                <w:lang w:eastAsia="ko-KR"/>
              </w:rPr>
              <w:lastRenderedPageBreak/>
              <w:t>This clause contains the restrictions on the scheduling availability for V2X sidelink due to switching between E-UTRA V2X sidelink and NR V2X sidelink on a dedicated carrier. For the NR V2X sidelink, the assumed number of configured symbols in a slot is 14.</w:t>
            </w:r>
          </w:p>
          <w:p w:rsidR="00355A97" w:rsidRPr="00FF0B57" w:rsidRDefault="00355A97" w:rsidP="00355A97">
            <w:pPr>
              <w:rPr>
                <w:rFonts w:eastAsia="Times New Roman"/>
                <w:lang w:eastAsia="ko-KR"/>
              </w:rPr>
            </w:pPr>
            <w:r w:rsidRPr="00FF0B57">
              <w:rPr>
                <w:rFonts w:eastAsia="Times New Roman"/>
                <w:lang w:eastAsia="ko-KR"/>
              </w:rPr>
              <w:t xml:space="preserve">When switch from E-UTRA V2X sidelink to NR V2X sidelink occurs in NR slot ‘n’,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t>UE is not expected to transmit or receive on NR V2X sidelink on the slot ‘n’.</w:t>
            </w:r>
          </w:p>
          <w:p w:rsidR="00355A97" w:rsidRPr="00FF0B57" w:rsidRDefault="00355A97" w:rsidP="00355A97">
            <w:pPr>
              <w:rPr>
                <w:lang w:val="en-US" w:eastAsia="ko-KR"/>
              </w:rPr>
            </w:pPr>
            <w:r w:rsidRPr="00FF0B57">
              <w:rPr>
                <w:lang w:val="en-US" w:eastAsia="ko-KR"/>
              </w:rPr>
              <w:t xml:space="preserve">When switch from NR V2X sidelink to E-UTRA V2X sidelink occurs in NR slot ‘n-1’,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t xml:space="preserve"> UE is not expected to transmit or receive on NR V2X sidelink on the slot ‘n-1’. </w:t>
            </w:r>
          </w:p>
          <w:p w:rsidR="00355A97" w:rsidRPr="00FF0B57" w:rsidRDefault="00355A97" w:rsidP="00355A97">
            <w:pPr>
              <w:rPr>
                <w:lang w:val="en-US" w:eastAsia="ko-KR"/>
              </w:rPr>
            </w:pPr>
            <w:r w:rsidRPr="00FF0B57">
              <w:rPr>
                <w:lang w:val="en-US" w:eastAsia="ko-KR"/>
              </w:rPr>
              <w:t xml:space="preserve">When switch from NR V2X sidelink to E-UTRA V2X sidelink occurs in E-UTRA </w:t>
            </w:r>
            <w:proofErr w:type="spellStart"/>
            <w:r w:rsidRPr="00FF0B57">
              <w:rPr>
                <w:lang w:val="en-US" w:eastAsia="ko-KR"/>
              </w:rPr>
              <w:t>subframe</w:t>
            </w:r>
            <w:proofErr w:type="spellEnd"/>
            <w:r w:rsidRPr="00FF0B57">
              <w:rPr>
                <w:lang w:val="en-US" w:eastAsia="ko-KR"/>
              </w:rPr>
              <w:t xml:space="preserve"> ‘n’,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t xml:space="preserve">UE is not expected to transmit or receive on E-UTRA V2X sidelink on the </w:t>
            </w:r>
            <w:proofErr w:type="spellStart"/>
            <w:r w:rsidRPr="00FF0B57">
              <w:rPr>
                <w:rFonts w:eastAsia="Times New Roman"/>
                <w:lang w:eastAsia="x-none"/>
              </w:rPr>
              <w:t>subframe</w:t>
            </w:r>
            <w:proofErr w:type="spellEnd"/>
            <w:r w:rsidRPr="00FF0B57">
              <w:rPr>
                <w:rFonts w:eastAsia="Times New Roman"/>
                <w:lang w:eastAsia="x-none"/>
              </w:rPr>
              <w:t xml:space="preserve"> ‘n’.</w:t>
            </w:r>
          </w:p>
          <w:p w:rsidR="00355A97" w:rsidRPr="00FF0B57" w:rsidRDefault="00355A97" w:rsidP="00355A97">
            <w:pPr>
              <w:rPr>
                <w:lang w:val="en-US" w:eastAsia="ko-KR"/>
              </w:rPr>
            </w:pPr>
            <w:r w:rsidRPr="00FF0B57">
              <w:rPr>
                <w:lang w:val="en-US" w:eastAsia="ko-KR"/>
              </w:rPr>
              <w:t xml:space="preserve">When switch from E-UTRA V2X sidelink to NR V2X sidelink occurs in E-UTRA </w:t>
            </w:r>
            <w:proofErr w:type="spellStart"/>
            <w:r w:rsidRPr="00FF0B57">
              <w:rPr>
                <w:lang w:val="en-US" w:eastAsia="ko-KR"/>
              </w:rPr>
              <w:t>subframe</w:t>
            </w:r>
            <w:proofErr w:type="spellEnd"/>
            <w:r w:rsidRPr="00FF0B57">
              <w:rPr>
                <w:lang w:val="en-US" w:eastAsia="ko-KR"/>
              </w:rPr>
              <w:t xml:space="preserve"> ‘n-1’, </w:t>
            </w:r>
          </w:p>
          <w:p w:rsidR="00355A97" w:rsidRPr="00FF0B57" w:rsidRDefault="00355A97" w:rsidP="00FF0B57">
            <w:pPr>
              <w:pStyle w:val="B10"/>
              <w:numPr>
                <w:ilvl w:val="0"/>
                <w:numId w:val="43"/>
              </w:numPr>
              <w:ind w:left="568" w:hanging="284"/>
              <w:rPr>
                <w:rFonts w:eastAsia="Times New Roman"/>
                <w:lang w:eastAsia="x-none"/>
              </w:rPr>
            </w:pPr>
            <w:r w:rsidRPr="00FF0B57">
              <w:rPr>
                <w:rFonts w:eastAsia="Times New Roman"/>
                <w:lang w:eastAsia="x-none"/>
              </w:rPr>
              <w:t xml:space="preserve">UE is not expected to transmit or receive E-UTRA on V2X sidelink on the </w:t>
            </w:r>
            <w:proofErr w:type="spellStart"/>
            <w:r w:rsidRPr="00FF0B57">
              <w:rPr>
                <w:rFonts w:eastAsia="Times New Roman"/>
                <w:lang w:eastAsia="x-none"/>
              </w:rPr>
              <w:t>subframe</w:t>
            </w:r>
            <w:proofErr w:type="spellEnd"/>
            <w:r w:rsidRPr="00FF0B57">
              <w:rPr>
                <w:rFonts w:eastAsia="Times New Roman"/>
                <w:lang w:eastAsia="x-none"/>
              </w:rPr>
              <w:t xml:space="preserve"> ‘n-1’.</w:t>
            </w:r>
          </w:p>
        </w:tc>
      </w:tr>
    </w:tbl>
    <w:p w:rsidR="00355A97" w:rsidRDefault="00765728" w:rsidP="00765728">
      <w:pPr>
        <w:spacing w:before="120"/>
      </w:pPr>
      <w:r>
        <w:lastRenderedPageBreak/>
        <w:t>Based on the above restrictions, it is not that important of the specific switching time as long as it is less the interruption slot/</w:t>
      </w:r>
      <w:proofErr w:type="spellStart"/>
      <w:r>
        <w:t>subframe</w:t>
      </w:r>
      <w:proofErr w:type="spellEnd"/>
      <w:r>
        <w:t xml:space="preserve"> but we see no convinced </w:t>
      </w:r>
      <w:r w:rsidR="00CE13CB">
        <w:t xml:space="preserve">reason not to adopt the value most companies preferred. </w:t>
      </w:r>
    </w:p>
    <w:p w:rsidR="00355A97" w:rsidRDefault="00CE13CB" w:rsidP="00303E78">
      <w:r>
        <w:t xml:space="preserve">According to the scheduling restriction specified in RRM specification, no matter the switching occurs at switching from or switching to, one slot or </w:t>
      </w:r>
      <w:proofErr w:type="spellStart"/>
      <w:r>
        <w:t>subframe</w:t>
      </w:r>
      <w:proofErr w:type="spellEnd"/>
      <w:r>
        <w:t xml:space="preserve"> would be waived. That means that time mask should not be specified across the boundary of LTE V2X and NR V2X, otherwise, more resource would be wasted. </w:t>
      </w:r>
    </w:p>
    <w:p w:rsidR="00CE13CB" w:rsidRDefault="00CE13CB" w:rsidP="00303E78">
      <w:pPr>
        <w:rPr>
          <w:b/>
          <w:i/>
        </w:rPr>
      </w:pPr>
      <w:r w:rsidRPr="00CE13CB">
        <w:rPr>
          <w:b/>
          <w:i/>
        </w:rPr>
        <w:t>Observation</w:t>
      </w:r>
      <w:r>
        <w:rPr>
          <w:b/>
          <w:i/>
        </w:rPr>
        <w:t xml:space="preserve"> 1</w:t>
      </w:r>
      <w:r w:rsidRPr="00CE13CB">
        <w:rPr>
          <w:b/>
          <w:i/>
        </w:rPr>
        <w:t xml:space="preserve">: </w:t>
      </w:r>
      <w:r>
        <w:rPr>
          <w:b/>
          <w:i/>
        </w:rPr>
        <w:t>No clear benefit for a longer switching time under the scheduling restriction condition.</w:t>
      </w:r>
    </w:p>
    <w:p w:rsidR="00CE13CB" w:rsidRPr="00CE13CB" w:rsidRDefault="00CE13CB" w:rsidP="00303E78">
      <w:pPr>
        <w:rPr>
          <w:b/>
          <w:i/>
        </w:rPr>
      </w:pPr>
      <w:r>
        <w:rPr>
          <w:b/>
          <w:i/>
        </w:rPr>
        <w:t xml:space="preserve">Observation 2: The whole switching period together with transient period should be put on one side on LTE </w:t>
      </w:r>
      <w:proofErr w:type="spellStart"/>
      <w:r>
        <w:rPr>
          <w:b/>
          <w:i/>
        </w:rPr>
        <w:t>subframe</w:t>
      </w:r>
      <w:proofErr w:type="spellEnd"/>
      <w:r>
        <w:rPr>
          <w:b/>
          <w:i/>
        </w:rPr>
        <w:t xml:space="preserve"> or NR slot</w:t>
      </w:r>
      <w:r w:rsidR="006E377B">
        <w:rPr>
          <w:b/>
          <w:i/>
        </w:rPr>
        <w:t xml:space="preserve"> to avoid more wasted resource.</w:t>
      </w:r>
    </w:p>
    <w:p w:rsidR="00CE13CB" w:rsidRDefault="006E377B" w:rsidP="00303E78">
      <w:r>
        <w:t xml:space="preserve">Unlike EN-DC, LTE has higher priority as it is configured as </w:t>
      </w:r>
      <w:proofErr w:type="spellStart"/>
      <w:r>
        <w:t>Pcell</w:t>
      </w:r>
      <w:proofErr w:type="spellEnd"/>
      <w:r>
        <w:t xml:space="preserve">, while for LTE V2X and NR V2X there is no clear priority for these two services. Thus it is not fair to put the switching period </w:t>
      </w:r>
      <w:r w:rsidR="00A92E20">
        <w:t xml:space="preserve">always on NR V2X side. </w:t>
      </w:r>
    </w:p>
    <w:p w:rsidR="00A92E20" w:rsidRDefault="00A92E20" w:rsidP="00303E78">
      <w:pPr>
        <w:rPr>
          <w:b/>
          <w:i/>
        </w:rPr>
      </w:pPr>
      <w:r w:rsidRPr="00A92E20">
        <w:rPr>
          <w:b/>
          <w:i/>
        </w:rPr>
        <w:t xml:space="preserve">Observation 3: </w:t>
      </w:r>
      <w:r>
        <w:rPr>
          <w:b/>
          <w:i/>
        </w:rPr>
        <w:t>It’s not reasonable to put the switching period only at the NR V2X side.</w:t>
      </w:r>
    </w:p>
    <w:p w:rsidR="00A92E20" w:rsidRDefault="00A92E20" w:rsidP="00303E78">
      <w:r>
        <w:t xml:space="preserve">With the scheduling restriction, there is no essential difference for the candidate option 2 to option 4. For simplicity we only need to choose one. Since more companies prefer option 2, we can adopt that option to specify the switching period time mask requirement. </w:t>
      </w:r>
    </w:p>
    <w:p w:rsidR="00A92E20" w:rsidRPr="00A92E20" w:rsidRDefault="00A92E20" w:rsidP="00303E78">
      <w:pPr>
        <w:rPr>
          <w:b/>
          <w:i/>
        </w:rPr>
      </w:pPr>
      <w:r w:rsidRPr="00A92E20">
        <w:rPr>
          <w:b/>
          <w:i/>
        </w:rPr>
        <w:t xml:space="preserve">Observation 4: </w:t>
      </w:r>
      <w:r>
        <w:rPr>
          <w:b/>
          <w:i/>
        </w:rPr>
        <w:t>Due to the scheduling restriction, no essential difference for options to put the switching period at either LTE sub-frame or NR slot.</w:t>
      </w:r>
    </w:p>
    <w:p w:rsidR="00A92E20" w:rsidRDefault="000F5959" w:rsidP="00303E78">
      <w:r>
        <w:t>Considering the above observations, we think that the time mask proposed in [</w:t>
      </w:r>
      <w:r w:rsidR="00DC3058">
        <w:t>2</w:t>
      </w:r>
      <w:r>
        <w:t>] can still fulfil the purpose of introducing the switching period.</w:t>
      </w:r>
    </w:p>
    <w:p w:rsidR="000F5959" w:rsidRDefault="00D90386" w:rsidP="000F5959">
      <w:pPr>
        <w:jc w:val="center"/>
        <w:rPr>
          <w:lang w:val="en-US" w:eastAsia="en-US"/>
        </w:rPr>
      </w:pPr>
      <w:r>
        <w:rPr>
          <w:noProof/>
          <w:lang w:val="en-US"/>
        </w:rPr>
        <w:drawing>
          <wp:inline distT="0" distB="0" distL="0" distR="0">
            <wp:extent cx="5337810" cy="15093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p>
    <w:p w:rsidR="000F5959" w:rsidRDefault="00D90386" w:rsidP="000F5959">
      <w:pPr>
        <w:jc w:val="center"/>
        <w:rPr>
          <w:lang w:val="en-US" w:eastAsia="en-US"/>
        </w:rPr>
      </w:pPr>
      <w:r>
        <w:rPr>
          <w:noProof/>
          <w:lang w:val="en-US"/>
        </w:rPr>
        <w:lastRenderedPageBreak/>
        <w:drawing>
          <wp:inline distT="0" distB="0" distL="0" distR="0">
            <wp:extent cx="5435600" cy="1540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p>
    <w:p w:rsidR="000F5959" w:rsidRDefault="000F5959" w:rsidP="000F5959">
      <w:pPr>
        <w:jc w:val="center"/>
        <w:rPr>
          <w:rFonts w:ascii="Arial" w:hAnsi="Arial" w:cs="Arial"/>
          <w:b/>
          <w:lang w:val="en-US" w:eastAsia="en-US"/>
        </w:rPr>
      </w:pPr>
      <w:r w:rsidRPr="005A0D1A">
        <w:rPr>
          <w:rFonts w:ascii="Arial" w:hAnsi="Arial" w:cs="Arial"/>
          <w:b/>
          <w:lang w:val="en-US" w:eastAsia="en-US"/>
        </w:rPr>
        <w:t xml:space="preserve">Figure </w:t>
      </w:r>
      <w:r w:rsidR="00DC3058">
        <w:rPr>
          <w:rFonts w:ascii="Arial" w:hAnsi="Arial" w:cs="Arial"/>
          <w:b/>
          <w:lang w:val="en-US" w:eastAsia="en-US"/>
        </w:rPr>
        <w:t>1</w:t>
      </w:r>
      <w:r w:rsidRPr="005A0D1A">
        <w:rPr>
          <w:rFonts w:ascii="Arial" w:hAnsi="Arial" w:cs="Arial"/>
          <w:b/>
          <w:lang w:val="en-US" w:eastAsia="en-US"/>
        </w:rPr>
        <w:t xml:space="preserve">: Time mask for switching between E-UTRA </w:t>
      </w:r>
      <w:r>
        <w:rPr>
          <w:rFonts w:ascii="Arial" w:hAnsi="Arial" w:cs="Arial"/>
          <w:b/>
          <w:lang w:val="en-US" w:eastAsia="en-US"/>
        </w:rPr>
        <w:t>V2X SL</w:t>
      </w:r>
      <w:r w:rsidRPr="005A0D1A">
        <w:rPr>
          <w:rFonts w:ascii="Arial" w:hAnsi="Arial" w:cs="Arial"/>
          <w:b/>
          <w:lang w:val="en-US" w:eastAsia="en-US"/>
        </w:rPr>
        <w:t xml:space="preserve"> and NR </w:t>
      </w:r>
      <w:r>
        <w:rPr>
          <w:rFonts w:ascii="Arial" w:hAnsi="Arial" w:cs="Arial"/>
          <w:b/>
          <w:lang w:val="en-US" w:eastAsia="en-US"/>
        </w:rPr>
        <w:t>V2X SL</w:t>
      </w:r>
    </w:p>
    <w:p w:rsidR="000F5959" w:rsidRDefault="000F5959" w:rsidP="000F5959">
      <w:pPr>
        <w:rPr>
          <w:b/>
          <w:i/>
          <w:lang w:val="en-US" w:eastAsia="en-US"/>
        </w:rPr>
      </w:pPr>
      <w:r>
        <w:rPr>
          <w:b/>
          <w:i/>
          <w:lang w:val="en-US" w:eastAsia="en-US"/>
        </w:rPr>
        <w:t>Proposal</w:t>
      </w:r>
      <w:r w:rsidRPr="00770DB7">
        <w:rPr>
          <w:b/>
          <w:i/>
          <w:lang w:val="en-US" w:eastAsia="en-US"/>
        </w:rPr>
        <w:t xml:space="preserve">: </w:t>
      </w:r>
      <w:r>
        <w:rPr>
          <w:b/>
          <w:i/>
          <w:lang w:val="en-US" w:eastAsia="en-US"/>
        </w:rPr>
        <w:t>It is proposed to agree on the time masks for switching between E-UTRA SL and NR SL as above</w:t>
      </w:r>
      <w:r w:rsidR="00DC3058">
        <w:rPr>
          <w:b/>
          <w:i/>
          <w:lang w:val="en-US" w:eastAsia="en-US"/>
        </w:rPr>
        <w:t>, i.e. the time masks for switching between E-UTRA SL and NR SL in the slot/SF on the RAT UE switches from</w:t>
      </w:r>
      <w:r w:rsidRPr="00770DB7">
        <w:rPr>
          <w:b/>
          <w:i/>
          <w:lang w:val="en-US" w:eastAsia="en-US"/>
        </w:rPr>
        <w:t>.</w:t>
      </w:r>
      <w:r>
        <w:rPr>
          <w:b/>
          <w:i/>
          <w:lang w:val="en-US" w:eastAsia="en-US"/>
        </w:rPr>
        <w:t xml:space="preserve"> </w:t>
      </w:r>
    </w:p>
    <w:p w:rsidR="000F5959" w:rsidRDefault="000F5959" w:rsidP="000F5959">
      <w:pPr>
        <w:rPr>
          <w:lang w:val="en-US" w:eastAsia="en-US"/>
        </w:rPr>
      </w:pPr>
    </w:p>
    <w:p w:rsidR="000F5959" w:rsidRDefault="000F5959" w:rsidP="000F5959">
      <w:pPr>
        <w:pStyle w:val="Heading1"/>
        <w:numPr>
          <w:ilvl w:val="0"/>
          <w:numId w:val="0"/>
        </w:numPr>
        <w:rPr>
          <w:rFonts w:eastAsia="宋体"/>
          <w:lang w:eastAsia="zh-CN"/>
        </w:rPr>
      </w:pPr>
      <w:r>
        <w:t>3 Conclusion</w:t>
      </w:r>
    </w:p>
    <w:p w:rsidR="000F5959" w:rsidRDefault="000F5959" w:rsidP="000F5959">
      <w:pPr>
        <w:rPr>
          <w:lang w:val="en-US" w:eastAsia="en-US"/>
        </w:rPr>
      </w:pPr>
      <w:r>
        <w:rPr>
          <w:lang w:val="en-US" w:eastAsia="en-US"/>
        </w:rPr>
        <w:t xml:space="preserve">Further consideration on switching period requirement is provided in this contribution. </w:t>
      </w:r>
    </w:p>
    <w:p w:rsidR="000F5959" w:rsidRDefault="000F5959" w:rsidP="000F5959">
      <w:pPr>
        <w:rPr>
          <w:b/>
          <w:i/>
        </w:rPr>
      </w:pPr>
      <w:r w:rsidRPr="00CE13CB">
        <w:rPr>
          <w:b/>
          <w:i/>
        </w:rPr>
        <w:t>Observation</w:t>
      </w:r>
      <w:r>
        <w:rPr>
          <w:b/>
          <w:i/>
        </w:rPr>
        <w:t xml:space="preserve"> 1</w:t>
      </w:r>
      <w:r w:rsidRPr="00CE13CB">
        <w:rPr>
          <w:b/>
          <w:i/>
        </w:rPr>
        <w:t xml:space="preserve">: </w:t>
      </w:r>
      <w:r>
        <w:rPr>
          <w:b/>
          <w:i/>
        </w:rPr>
        <w:t>No clear benefit for a longer switching time under the scheduling restriction condition.</w:t>
      </w:r>
    </w:p>
    <w:p w:rsidR="000F5959" w:rsidRPr="00CE13CB" w:rsidRDefault="000F5959" w:rsidP="000F5959">
      <w:pPr>
        <w:rPr>
          <w:b/>
          <w:i/>
        </w:rPr>
      </w:pPr>
      <w:r>
        <w:rPr>
          <w:b/>
          <w:i/>
        </w:rPr>
        <w:t xml:space="preserve">Observation 2: The whole switching period together with transient period should be put on one side on LTE </w:t>
      </w:r>
      <w:proofErr w:type="spellStart"/>
      <w:r>
        <w:rPr>
          <w:b/>
          <w:i/>
        </w:rPr>
        <w:t>subframe</w:t>
      </w:r>
      <w:proofErr w:type="spellEnd"/>
      <w:r>
        <w:rPr>
          <w:b/>
          <w:i/>
        </w:rPr>
        <w:t xml:space="preserve"> or NR slot to avoid more wasted resource.</w:t>
      </w:r>
    </w:p>
    <w:p w:rsidR="000F5959" w:rsidRDefault="000F5959" w:rsidP="000F5959">
      <w:pPr>
        <w:rPr>
          <w:b/>
          <w:i/>
        </w:rPr>
      </w:pPr>
      <w:r w:rsidRPr="00A92E20">
        <w:rPr>
          <w:b/>
          <w:i/>
        </w:rPr>
        <w:t xml:space="preserve">Observation 3: </w:t>
      </w:r>
      <w:r>
        <w:rPr>
          <w:b/>
          <w:i/>
        </w:rPr>
        <w:t>It’s not reasonable to put the switching period only at the NR V2X side.</w:t>
      </w:r>
    </w:p>
    <w:p w:rsidR="000F5959" w:rsidRPr="00A92E20" w:rsidRDefault="000F5959" w:rsidP="000F5959">
      <w:pPr>
        <w:rPr>
          <w:b/>
          <w:i/>
        </w:rPr>
      </w:pPr>
      <w:r w:rsidRPr="00A92E20">
        <w:rPr>
          <w:b/>
          <w:i/>
        </w:rPr>
        <w:t xml:space="preserve">Observation 4: </w:t>
      </w:r>
      <w:r>
        <w:rPr>
          <w:b/>
          <w:i/>
        </w:rPr>
        <w:t>Due to the scheduling restriction, no essential difference for options to put the switching period at either LTE sub-frame or NR slot.</w:t>
      </w:r>
    </w:p>
    <w:p w:rsidR="000F5959" w:rsidRDefault="000F5959" w:rsidP="000F5959">
      <w:pPr>
        <w:rPr>
          <w:b/>
          <w:i/>
          <w:lang w:val="en-US" w:eastAsia="en-US"/>
        </w:rPr>
      </w:pPr>
      <w:r>
        <w:rPr>
          <w:b/>
          <w:i/>
          <w:lang w:val="en-US" w:eastAsia="en-US"/>
        </w:rPr>
        <w:t>Proposal</w:t>
      </w:r>
      <w:r w:rsidRPr="00770DB7">
        <w:rPr>
          <w:b/>
          <w:i/>
          <w:lang w:val="en-US" w:eastAsia="en-US"/>
        </w:rPr>
        <w:t xml:space="preserve">: </w:t>
      </w:r>
      <w:r>
        <w:rPr>
          <w:b/>
          <w:i/>
          <w:lang w:val="en-US" w:eastAsia="en-US"/>
        </w:rPr>
        <w:t>It is proposed to agree on the time masks for switching between E-UTRA SL and NR SL</w:t>
      </w:r>
      <w:r w:rsidR="00DC3058">
        <w:rPr>
          <w:b/>
          <w:i/>
          <w:lang w:val="en-US" w:eastAsia="en-US"/>
        </w:rPr>
        <w:t xml:space="preserve"> in the slot/SF on the RAT UE switches from</w:t>
      </w:r>
      <w:r w:rsidRPr="00770DB7">
        <w:rPr>
          <w:b/>
          <w:i/>
          <w:lang w:val="en-US" w:eastAsia="en-US"/>
        </w:rPr>
        <w:t>.</w:t>
      </w:r>
      <w:r>
        <w:rPr>
          <w:b/>
          <w:i/>
          <w:lang w:val="en-US" w:eastAsia="en-US"/>
        </w:rPr>
        <w:t xml:space="preserve"> </w:t>
      </w:r>
    </w:p>
    <w:p w:rsidR="00B22DA6" w:rsidRDefault="00B22DA6" w:rsidP="00B22DA6">
      <w:pPr>
        <w:pStyle w:val="Heading1"/>
        <w:numPr>
          <w:ilvl w:val="0"/>
          <w:numId w:val="0"/>
        </w:numPr>
        <w:rPr>
          <w:rFonts w:eastAsia="宋体"/>
          <w:lang w:eastAsia="zh-CN"/>
        </w:rPr>
      </w:pPr>
      <w:r>
        <w:t>References</w:t>
      </w:r>
    </w:p>
    <w:p w:rsidR="00C53757" w:rsidRPr="007F5CE9" w:rsidRDefault="0035262B" w:rsidP="00F71A33">
      <w:pPr>
        <w:rPr>
          <w:lang w:val="en-US"/>
        </w:rPr>
      </w:pPr>
      <w:r>
        <w:rPr>
          <w:rFonts w:hint="eastAsia"/>
        </w:rPr>
        <w:t>[1]</w:t>
      </w:r>
      <w:r w:rsidR="00E71995">
        <w:t xml:space="preserve"> </w:t>
      </w:r>
      <w:r w:rsidR="00765EC5" w:rsidRPr="00765EC5">
        <w:t>R4-2011714</w:t>
      </w:r>
      <w:r w:rsidR="007F5CE9">
        <w:t>,</w:t>
      </w:r>
      <w:r w:rsidR="007F5CE9" w:rsidRPr="007F5CE9">
        <w:t xml:space="preserve"> </w:t>
      </w:r>
      <w:r w:rsidR="00765EC5" w:rsidRPr="00765EC5">
        <w:t>WF on NR-V2X switching period</w:t>
      </w:r>
      <w:r w:rsidR="007F5CE9">
        <w:t xml:space="preserve">, </w:t>
      </w:r>
      <w:r w:rsidR="007F5CE9" w:rsidRPr="007F5CE9">
        <w:rPr>
          <w:lang w:val="en-US"/>
        </w:rPr>
        <w:t>CATT</w:t>
      </w:r>
    </w:p>
    <w:p w:rsidR="00A92E20" w:rsidRPr="00A26D1F" w:rsidRDefault="00A92E20" w:rsidP="00F71A33">
      <w:pPr>
        <w:rPr>
          <w:lang w:val="en-US"/>
        </w:rPr>
      </w:pPr>
      <w:r>
        <w:rPr>
          <w:lang w:val="en-US"/>
        </w:rPr>
        <w:t>[</w:t>
      </w:r>
      <w:r w:rsidR="00765EC5">
        <w:rPr>
          <w:lang w:val="en-US"/>
        </w:rPr>
        <w:t>2</w:t>
      </w:r>
      <w:r>
        <w:rPr>
          <w:lang w:val="en-US"/>
        </w:rPr>
        <w:t xml:space="preserve">] </w:t>
      </w:r>
      <w:r w:rsidR="000F5959" w:rsidRPr="00E51339">
        <w:t>R4-2008219</w:t>
      </w:r>
      <w:r w:rsidR="000F5959">
        <w:t xml:space="preserve">, </w:t>
      </w:r>
      <w:proofErr w:type="gramStart"/>
      <w:r w:rsidR="000F5959" w:rsidRPr="000F5959">
        <w:t>On</w:t>
      </w:r>
      <w:proofErr w:type="gramEnd"/>
      <w:r w:rsidR="000F5959" w:rsidRPr="000F5959">
        <w:t xml:space="preserve"> switching period for LTE SL and NR SL</w:t>
      </w:r>
      <w:r w:rsidR="000F5959">
        <w:t>, Huawei, HiSilicon</w:t>
      </w:r>
    </w:p>
    <w:sectPr w:rsidR="00A92E20" w:rsidRPr="00A26D1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096" w:rsidRDefault="008A3096" w:rsidP="0052762B">
      <w:r>
        <w:separator/>
      </w:r>
    </w:p>
  </w:endnote>
  <w:endnote w:type="continuationSeparator" w:id="0">
    <w:p w:rsidR="008A3096" w:rsidRDefault="008A30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096" w:rsidRDefault="008A3096" w:rsidP="0052762B">
      <w:r>
        <w:separator/>
      </w:r>
    </w:p>
  </w:footnote>
  <w:footnote w:type="continuationSeparator" w:id="0">
    <w:p w:rsidR="008A3096" w:rsidRDefault="008A309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890EE7"/>
    <w:multiLevelType w:val="hybridMultilevel"/>
    <w:tmpl w:val="A92EFA8C"/>
    <w:lvl w:ilvl="0" w:tplc="645A696A">
      <w:start w:val="1"/>
      <w:numFmt w:val="bullet"/>
      <w:lvlText w:val="•"/>
      <w:lvlJc w:val="left"/>
      <w:pPr>
        <w:tabs>
          <w:tab w:val="num" w:pos="720"/>
        </w:tabs>
        <w:ind w:left="720" w:hanging="360"/>
      </w:pPr>
      <w:rPr>
        <w:rFonts w:ascii="Arial" w:hAnsi="Arial" w:hint="default"/>
      </w:rPr>
    </w:lvl>
    <w:lvl w:ilvl="1" w:tplc="8B3A9656" w:tentative="1">
      <w:start w:val="1"/>
      <w:numFmt w:val="bullet"/>
      <w:lvlText w:val="•"/>
      <w:lvlJc w:val="left"/>
      <w:pPr>
        <w:tabs>
          <w:tab w:val="num" w:pos="1440"/>
        </w:tabs>
        <w:ind w:left="1440" w:hanging="360"/>
      </w:pPr>
      <w:rPr>
        <w:rFonts w:ascii="Arial" w:hAnsi="Arial" w:hint="default"/>
      </w:rPr>
    </w:lvl>
    <w:lvl w:ilvl="2" w:tplc="020CCBE8">
      <w:start w:val="1"/>
      <w:numFmt w:val="bullet"/>
      <w:lvlText w:val="•"/>
      <w:lvlJc w:val="left"/>
      <w:pPr>
        <w:tabs>
          <w:tab w:val="num" w:pos="2160"/>
        </w:tabs>
        <w:ind w:left="2160" w:hanging="360"/>
      </w:pPr>
      <w:rPr>
        <w:rFonts w:ascii="Arial" w:hAnsi="Arial" w:hint="default"/>
      </w:rPr>
    </w:lvl>
    <w:lvl w:ilvl="3" w:tplc="05D2871A">
      <w:numFmt w:val="bullet"/>
      <w:lvlText w:val="-"/>
      <w:lvlJc w:val="left"/>
      <w:pPr>
        <w:tabs>
          <w:tab w:val="num" w:pos="2880"/>
        </w:tabs>
        <w:ind w:left="2880" w:hanging="360"/>
      </w:pPr>
      <w:rPr>
        <w:rFonts w:ascii="Yu Gothic" w:hAnsi="Yu Gothic" w:hint="default"/>
      </w:rPr>
    </w:lvl>
    <w:lvl w:ilvl="4" w:tplc="97643EAE" w:tentative="1">
      <w:start w:val="1"/>
      <w:numFmt w:val="bullet"/>
      <w:lvlText w:val="•"/>
      <w:lvlJc w:val="left"/>
      <w:pPr>
        <w:tabs>
          <w:tab w:val="num" w:pos="3600"/>
        </w:tabs>
        <w:ind w:left="3600" w:hanging="360"/>
      </w:pPr>
      <w:rPr>
        <w:rFonts w:ascii="Arial" w:hAnsi="Arial" w:hint="default"/>
      </w:rPr>
    </w:lvl>
    <w:lvl w:ilvl="5" w:tplc="FAEA88EA" w:tentative="1">
      <w:start w:val="1"/>
      <w:numFmt w:val="bullet"/>
      <w:lvlText w:val="•"/>
      <w:lvlJc w:val="left"/>
      <w:pPr>
        <w:tabs>
          <w:tab w:val="num" w:pos="4320"/>
        </w:tabs>
        <w:ind w:left="4320" w:hanging="360"/>
      </w:pPr>
      <w:rPr>
        <w:rFonts w:ascii="Arial" w:hAnsi="Arial" w:hint="default"/>
      </w:rPr>
    </w:lvl>
    <w:lvl w:ilvl="6" w:tplc="1DCC8364" w:tentative="1">
      <w:start w:val="1"/>
      <w:numFmt w:val="bullet"/>
      <w:lvlText w:val="•"/>
      <w:lvlJc w:val="left"/>
      <w:pPr>
        <w:tabs>
          <w:tab w:val="num" w:pos="5040"/>
        </w:tabs>
        <w:ind w:left="5040" w:hanging="360"/>
      </w:pPr>
      <w:rPr>
        <w:rFonts w:ascii="Arial" w:hAnsi="Arial" w:hint="default"/>
      </w:rPr>
    </w:lvl>
    <w:lvl w:ilvl="7" w:tplc="2FA40C4A" w:tentative="1">
      <w:start w:val="1"/>
      <w:numFmt w:val="bullet"/>
      <w:lvlText w:val="•"/>
      <w:lvlJc w:val="left"/>
      <w:pPr>
        <w:tabs>
          <w:tab w:val="num" w:pos="5760"/>
        </w:tabs>
        <w:ind w:left="5760" w:hanging="360"/>
      </w:pPr>
      <w:rPr>
        <w:rFonts w:ascii="Arial" w:hAnsi="Arial" w:hint="default"/>
      </w:rPr>
    </w:lvl>
    <w:lvl w:ilvl="8" w:tplc="E9D058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24BC6"/>
    <w:multiLevelType w:val="hybridMultilevel"/>
    <w:tmpl w:val="818C6030"/>
    <w:lvl w:ilvl="0" w:tplc="8F1480CE">
      <w:start w:val="1"/>
      <w:numFmt w:val="bullet"/>
      <w:lvlText w:val="⁻"/>
      <w:lvlJc w:val="left"/>
      <w:pPr>
        <w:tabs>
          <w:tab w:val="num" w:pos="644"/>
        </w:tabs>
        <w:ind w:left="644" w:hanging="360"/>
      </w:pPr>
      <w:rPr>
        <w:rFonts w:ascii="Calibri" w:hAnsi="Calibri" w:hint="default"/>
      </w:rPr>
    </w:lvl>
    <w:lvl w:ilvl="1" w:tplc="BFD614C6">
      <w:start w:val="1"/>
      <w:numFmt w:val="bullet"/>
      <w:lvlText w:val="⁻"/>
      <w:lvlJc w:val="left"/>
      <w:pPr>
        <w:tabs>
          <w:tab w:val="num" w:pos="1364"/>
        </w:tabs>
        <w:ind w:left="1364" w:hanging="360"/>
      </w:pPr>
      <w:rPr>
        <w:rFonts w:ascii="Calibri" w:hAnsi="Calibri" w:hint="default"/>
      </w:rPr>
    </w:lvl>
    <w:lvl w:ilvl="2" w:tplc="45D69C1C">
      <w:start w:val="1"/>
      <w:numFmt w:val="bullet"/>
      <w:lvlText w:val="⁻"/>
      <w:lvlJc w:val="left"/>
      <w:pPr>
        <w:tabs>
          <w:tab w:val="num" w:pos="2084"/>
        </w:tabs>
        <w:ind w:left="2084" w:hanging="360"/>
      </w:pPr>
      <w:rPr>
        <w:rFonts w:ascii="Calibri" w:hAnsi="Calibri" w:hint="default"/>
      </w:rPr>
    </w:lvl>
    <w:lvl w:ilvl="3" w:tplc="5CFA4B60">
      <w:start w:val="1"/>
      <w:numFmt w:val="bullet"/>
      <w:lvlText w:val="⁻"/>
      <w:lvlJc w:val="left"/>
      <w:pPr>
        <w:tabs>
          <w:tab w:val="num" w:pos="2804"/>
        </w:tabs>
        <w:ind w:left="2804" w:hanging="360"/>
      </w:pPr>
      <w:rPr>
        <w:rFonts w:ascii="Calibri" w:hAnsi="Calibri" w:hint="default"/>
      </w:rPr>
    </w:lvl>
    <w:lvl w:ilvl="4" w:tplc="FD985C5E" w:tentative="1">
      <w:start w:val="1"/>
      <w:numFmt w:val="bullet"/>
      <w:lvlText w:val="⁻"/>
      <w:lvlJc w:val="left"/>
      <w:pPr>
        <w:tabs>
          <w:tab w:val="num" w:pos="3524"/>
        </w:tabs>
        <w:ind w:left="3524" w:hanging="360"/>
      </w:pPr>
      <w:rPr>
        <w:rFonts w:ascii="Calibri" w:hAnsi="Calibri" w:hint="default"/>
      </w:rPr>
    </w:lvl>
    <w:lvl w:ilvl="5" w:tplc="119C0232" w:tentative="1">
      <w:start w:val="1"/>
      <w:numFmt w:val="bullet"/>
      <w:lvlText w:val="⁻"/>
      <w:lvlJc w:val="left"/>
      <w:pPr>
        <w:tabs>
          <w:tab w:val="num" w:pos="4244"/>
        </w:tabs>
        <w:ind w:left="4244" w:hanging="360"/>
      </w:pPr>
      <w:rPr>
        <w:rFonts w:ascii="Calibri" w:hAnsi="Calibri" w:hint="default"/>
      </w:rPr>
    </w:lvl>
    <w:lvl w:ilvl="6" w:tplc="A9A8FDC4" w:tentative="1">
      <w:start w:val="1"/>
      <w:numFmt w:val="bullet"/>
      <w:lvlText w:val="⁻"/>
      <w:lvlJc w:val="left"/>
      <w:pPr>
        <w:tabs>
          <w:tab w:val="num" w:pos="4964"/>
        </w:tabs>
        <w:ind w:left="4964" w:hanging="360"/>
      </w:pPr>
      <w:rPr>
        <w:rFonts w:ascii="Calibri" w:hAnsi="Calibri" w:hint="default"/>
      </w:rPr>
    </w:lvl>
    <w:lvl w:ilvl="7" w:tplc="FC1A2D68" w:tentative="1">
      <w:start w:val="1"/>
      <w:numFmt w:val="bullet"/>
      <w:lvlText w:val="⁻"/>
      <w:lvlJc w:val="left"/>
      <w:pPr>
        <w:tabs>
          <w:tab w:val="num" w:pos="5684"/>
        </w:tabs>
        <w:ind w:left="5684" w:hanging="360"/>
      </w:pPr>
      <w:rPr>
        <w:rFonts w:ascii="Calibri" w:hAnsi="Calibri" w:hint="default"/>
      </w:rPr>
    </w:lvl>
    <w:lvl w:ilvl="8" w:tplc="4B3EE98A" w:tentative="1">
      <w:start w:val="1"/>
      <w:numFmt w:val="bullet"/>
      <w:lvlText w:val="⁻"/>
      <w:lvlJc w:val="left"/>
      <w:pPr>
        <w:tabs>
          <w:tab w:val="num" w:pos="6404"/>
        </w:tabs>
        <w:ind w:left="6404" w:hanging="360"/>
      </w:pPr>
      <w:rPr>
        <w:rFonts w:ascii="Calibri" w:hAnsi="Calibri"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3"/>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39"/>
  </w:num>
  <w:num w:numId="44">
    <w:abstractNumId w:val="32"/>
  </w:num>
  <w:num w:numId="4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959"/>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A97"/>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07A"/>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ED6"/>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79F"/>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77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728"/>
    <w:rsid w:val="00765EC5"/>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5CE9"/>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96"/>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1C1A"/>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2E20"/>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0691"/>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C6C"/>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3CB"/>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A18"/>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0386"/>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058"/>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5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8D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57"/>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6646D3-3D37-4583-8CEE-2AD7E1B4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4280651">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674347">
      <w:bodyDiv w:val="1"/>
      <w:marLeft w:val="0"/>
      <w:marRight w:val="0"/>
      <w:marTop w:val="0"/>
      <w:marBottom w:val="0"/>
      <w:divBdr>
        <w:top w:val="none" w:sz="0" w:space="0" w:color="auto"/>
        <w:left w:val="none" w:sz="0" w:space="0" w:color="auto"/>
        <w:bottom w:val="none" w:sz="0" w:space="0" w:color="auto"/>
        <w:right w:val="none" w:sz="0" w:space="0" w:color="auto"/>
      </w:divBdr>
      <w:divsChild>
        <w:div w:id="835144683">
          <w:marLeft w:val="1080"/>
          <w:marRight w:val="0"/>
          <w:marTop w:val="200"/>
          <w:marBottom w:val="0"/>
          <w:divBdr>
            <w:top w:val="none" w:sz="0" w:space="0" w:color="auto"/>
            <w:left w:val="none" w:sz="0" w:space="0" w:color="auto"/>
            <w:bottom w:val="none" w:sz="0" w:space="0" w:color="auto"/>
            <w:right w:val="none" w:sz="0" w:space="0" w:color="auto"/>
          </w:divBdr>
        </w:div>
        <w:div w:id="752625489">
          <w:marLeft w:val="1080"/>
          <w:marRight w:val="0"/>
          <w:marTop w:val="200"/>
          <w:marBottom w:val="0"/>
          <w:divBdr>
            <w:top w:val="none" w:sz="0" w:space="0" w:color="auto"/>
            <w:left w:val="none" w:sz="0" w:space="0" w:color="auto"/>
            <w:bottom w:val="none" w:sz="0" w:space="0" w:color="auto"/>
            <w:right w:val="none" w:sz="0" w:space="0" w:color="auto"/>
          </w:divBdr>
        </w:div>
        <w:div w:id="1738700924">
          <w:marLeft w:val="1080"/>
          <w:marRight w:val="0"/>
          <w:marTop w:val="200"/>
          <w:marBottom w:val="0"/>
          <w:divBdr>
            <w:top w:val="none" w:sz="0" w:space="0" w:color="auto"/>
            <w:left w:val="none" w:sz="0" w:space="0" w:color="auto"/>
            <w:bottom w:val="none" w:sz="0" w:space="0" w:color="auto"/>
            <w:right w:val="none" w:sz="0" w:space="0" w:color="auto"/>
          </w:divBdr>
        </w:div>
        <w:div w:id="1165777768">
          <w:marLeft w:val="1080"/>
          <w:marRight w:val="0"/>
          <w:marTop w:val="200"/>
          <w:marBottom w:val="0"/>
          <w:divBdr>
            <w:top w:val="none" w:sz="0" w:space="0" w:color="auto"/>
            <w:left w:val="none" w:sz="0" w:space="0" w:color="auto"/>
            <w:bottom w:val="none" w:sz="0" w:space="0" w:color="auto"/>
            <w:right w:val="none" w:sz="0" w:space="0" w:color="auto"/>
          </w:divBdr>
        </w:div>
        <w:div w:id="1254897863">
          <w:marLeft w:val="1080"/>
          <w:marRight w:val="0"/>
          <w:marTop w:val="200"/>
          <w:marBottom w:val="0"/>
          <w:divBdr>
            <w:top w:val="none" w:sz="0" w:space="0" w:color="auto"/>
            <w:left w:val="none" w:sz="0" w:space="0" w:color="auto"/>
            <w:bottom w:val="none" w:sz="0" w:space="0" w:color="auto"/>
            <w:right w:val="none" w:sz="0" w:space="0" w:color="auto"/>
          </w:divBdr>
        </w:div>
        <w:div w:id="2018537088">
          <w:marLeft w:val="1080"/>
          <w:marRight w:val="0"/>
          <w:marTop w:val="200"/>
          <w:marBottom w:val="0"/>
          <w:divBdr>
            <w:top w:val="none" w:sz="0" w:space="0" w:color="auto"/>
            <w:left w:val="none" w:sz="0" w:space="0" w:color="auto"/>
            <w:bottom w:val="none" w:sz="0" w:space="0" w:color="auto"/>
            <w:right w:val="none" w:sz="0" w:space="0" w:color="auto"/>
          </w:divBdr>
        </w:div>
        <w:div w:id="146675245">
          <w:marLeft w:val="1987"/>
          <w:marRight w:val="0"/>
          <w:marTop w:val="200"/>
          <w:marBottom w:val="0"/>
          <w:divBdr>
            <w:top w:val="none" w:sz="0" w:space="0" w:color="auto"/>
            <w:left w:val="none" w:sz="0" w:space="0" w:color="auto"/>
            <w:bottom w:val="none" w:sz="0" w:space="0" w:color="auto"/>
            <w:right w:val="none" w:sz="0" w:space="0" w:color="auto"/>
          </w:divBdr>
        </w:div>
        <w:div w:id="1016007028">
          <w:marLeft w:val="1987"/>
          <w:marRight w:val="0"/>
          <w:marTop w:val="200"/>
          <w:marBottom w:val="0"/>
          <w:divBdr>
            <w:top w:val="none" w:sz="0" w:space="0" w:color="auto"/>
            <w:left w:val="none" w:sz="0" w:space="0" w:color="auto"/>
            <w:bottom w:val="none" w:sz="0" w:space="0" w:color="auto"/>
            <w:right w:val="none" w:sz="0" w:space="0" w:color="auto"/>
          </w:divBdr>
        </w:div>
        <w:div w:id="1095131213">
          <w:marLeft w:val="1987"/>
          <w:marRight w:val="0"/>
          <w:marTop w:val="200"/>
          <w:marBottom w:val="0"/>
          <w:divBdr>
            <w:top w:val="none" w:sz="0" w:space="0" w:color="auto"/>
            <w:left w:val="none" w:sz="0" w:space="0" w:color="auto"/>
            <w:bottom w:val="none" w:sz="0" w:space="0" w:color="auto"/>
            <w:right w:val="none" w:sz="0" w:space="0" w:color="auto"/>
          </w:divBdr>
        </w:div>
        <w:div w:id="939070358">
          <w:marLeft w:val="1267"/>
          <w:marRight w:val="0"/>
          <w:marTop w:val="200"/>
          <w:marBottom w:val="0"/>
          <w:divBdr>
            <w:top w:val="none" w:sz="0" w:space="0" w:color="auto"/>
            <w:left w:val="none" w:sz="0" w:space="0" w:color="auto"/>
            <w:bottom w:val="none" w:sz="0" w:space="0" w:color="auto"/>
            <w:right w:val="none" w:sz="0" w:space="0" w:color="auto"/>
          </w:divBdr>
        </w:div>
      </w:divsChild>
    </w:div>
    <w:div w:id="176233423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1555621">
      <w:bodyDiv w:val="1"/>
      <w:marLeft w:val="0"/>
      <w:marRight w:val="0"/>
      <w:marTop w:val="0"/>
      <w:marBottom w:val="0"/>
      <w:divBdr>
        <w:top w:val="none" w:sz="0" w:space="0" w:color="auto"/>
        <w:left w:val="none" w:sz="0" w:space="0" w:color="auto"/>
        <w:bottom w:val="none" w:sz="0" w:space="0" w:color="auto"/>
        <w:right w:val="none" w:sz="0" w:space="0" w:color="auto"/>
      </w:divBdr>
      <w:divsChild>
        <w:div w:id="43723579">
          <w:marLeft w:val="1080"/>
          <w:marRight w:val="0"/>
          <w:marTop w:val="100"/>
          <w:marBottom w:val="0"/>
          <w:divBdr>
            <w:top w:val="none" w:sz="0" w:space="0" w:color="auto"/>
            <w:left w:val="none" w:sz="0" w:space="0" w:color="auto"/>
            <w:bottom w:val="none" w:sz="0" w:space="0" w:color="auto"/>
            <w:right w:val="none" w:sz="0" w:space="0" w:color="auto"/>
          </w:divBdr>
        </w:div>
        <w:div w:id="941452748">
          <w:marLeft w:val="1080"/>
          <w:marRight w:val="0"/>
          <w:marTop w:val="100"/>
          <w:marBottom w:val="0"/>
          <w:divBdr>
            <w:top w:val="none" w:sz="0" w:space="0" w:color="auto"/>
            <w:left w:val="none" w:sz="0" w:space="0" w:color="auto"/>
            <w:bottom w:val="none" w:sz="0" w:space="0" w:color="auto"/>
            <w:right w:val="none" w:sz="0" w:space="0" w:color="auto"/>
          </w:divBdr>
        </w:div>
        <w:div w:id="1321346232">
          <w:marLeft w:val="1080"/>
          <w:marRight w:val="0"/>
          <w:marTop w:val="100"/>
          <w:marBottom w:val="0"/>
          <w:divBdr>
            <w:top w:val="none" w:sz="0" w:space="0" w:color="auto"/>
            <w:left w:val="none" w:sz="0" w:space="0" w:color="auto"/>
            <w:bottom w:val="none" w:sz="0" w:space="0" w:color="auto"/>
            <w:right w:val="none" w:sz="0" w:space="0" w:color="auto"/>
          </w:divBdr>
        </w:div>
        <w:div w:id="1355963301">
          <w:marLeft w:val="1080"/>
          <w:marRight w:val="0"/>
          <w:marTop w:val="10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107E4-D30A-465D-ACC4-FEB56F9C6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2020-10-23T13:44:00Z</dcterms:created>
  <dcterms:modified xsi:type="dcterms:W3CDTF">2020-10-23T22:01:00Z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(3)lyOIW2oYkp/pL99lGvyNaqLex2m9OgMW1S0CH78LzJnx5SImxTD34kdO8jFFlBCfqdcmQRmm
jg782z5KUL6e6CHVCXMfBJu5SUAvl5f+EeaTVDPMLiWpQwpbiXGc08HiY/cFcfirsJmYR1B9
OInVE6JQa+nUCYcSGBRkkLravgPKXqbLsyrnAYEp++wRJLC8jOPqwL3FfjXtvs/SEuvzYPmh
u64OyM45TK+0Z47y4A</vt:lpwstr>
  </property>
  <property fmtid="{D5CDD505-2E9C-101B-9397-08002B2CF9AE}" pid="15" name="_2015_ms_pID_725343_00">
    <vt:lpwstr>_2015_ms_pID_725343</vt:lpwstr>
  </property>
  <property fmtid="{D5CDD505-2E9C-101B-9397-08002B2CF9AE}" pid="16" name="_2015_ms_pID_7253431">
    <vt:lpwstr>WcaXsvb9n//OjDDZbVV0OxTp8EfcCUm4HGN9PZcBtmU3l9TMAddDzU
k6gom0Z9Kc5pJg4oCp1NXptEOTWU/Odajnzl3aJFy/3GnagibI82vgubrrxWAVZmRLVfElZ4
ZpT+QTPFKRYhIRherWQX1/vk5tEWktVJgD+Lu4EI1yDNyGRd2GB10Dema/4kCxwvUUaAxPQD
piC6V08I1rUXVMS8dv8KdlDoYjlK8zknzhIu</vt:lpwstr>
  </property>
  <property fmtid="{D5CDD505-2E9C-101B-9397-08002B2CF9AE}" pid="17" name="_2015_ms_pID_7253431_00">
    <vt:lpwstr>_2015_ms_pID_7253431</vt:lpwstr>
  </property>
  <property fmtid="{D5CDD505-2E9C-101B-9397-08002B2CF9AE}" pid="18" name="_2015_ms_pID_7253432">
    <vt:lpwstr>sdThWUtASOak2WOvVjOTGFU=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